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7" w14:textId="7DEF8D8F" w:rsidR="000D3D53" w:rsidRPr="0090229E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in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mancanza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successiva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documentata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esperienza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almeno</w:t>
      </w:r>
      <w:proofErr w:type="spellEnd"/>
      <w:r w:rsidRPr="0090229E">
        <w:rPr>
          <w:rFonts w:ascii="Titillium Web" w:hAnsi="Titillium Web"/>
          <w:lang w:val="en-US"/>
        </w:rPr>
        <w:t xml:space="preserve"> 3 </w:t>
      </w:r>
      <w:proofErr w:type="spellStart"/>
      <w:r w:rsidRPr="0090229E">
        <w:rPr>
          <w:rFonts w:ascii="Titillium Web" w:hAnsi="Titillium Web"/>
          <w:lang w:val="en-US"/>
        </w:rPr>
        <w:t>anni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scientifiche</w:t>
      </w:r>
      <w:proofErr w:type="spellEnd"/>
      <w:r w:rsidRPr="0090229E">
        <w:rPr>
          <w:rFonts w:ascii="Titillium Web" w:hAnsi="Titillium Web"/>
          <w:lang w:val="en-US"/>
        </w:rPr>
        <w:t xml:space="preserve">, </w:t>
      </w:r>
      <w:proofErr w:type="spellStart"/>
      <w:r w:rsidRPr="0090229E">
        <w:rPr>
          <w:rFonts w:ascii="Titillium Web" w:hAnsi="Titillium Web"/>
          <w:lang w:val="en-US"/>
        </w:rPr>
        <w:t>tecnologiche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gestionali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svolta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l’Istituto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Ente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Università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(for candidates who have not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 P</w:t>
      </w:r>
      <w:r w:rsidR="00E4262D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h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 or who have not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0E3A00">
        <w:rPr>
          <w:rFonts w:ascii="Titillium Web" w:hAnsi="Titillium Web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PhD years 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______________________   dal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(start date)</w:t>
      </w:r>
      <w:r w:rsidRPr="0090229E">
        <w:rPr>
          <w:rFonts w:ascii="Titillium Web" w:hAnsi="Titillium Web"/>
          <w:lang w:val="en-US"/>
        </w:rPr>
        <w:t xml:space="preserve">___________    al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(end date)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</w:t>
      </w:r>
    </w:p>
    <w:p w14:paraId="00000028" w14:textId="77777777" w:rsidR="000D3D53" w:rsidRPr="000E3A00" w:rsidRDefault="00BD4EEF" w:rsidP="000E3A00">
      <w:pPr>
        <w:ind w:left="72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lastRenderedPageBreak/>
        <w:t>svolgendo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seguente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 xml:space="preserve">: </w:t>
      </w:r>
      <w:r w:rsidRPr="0090229E">
        <w:rPr>
          <w:rFonts w:ascii="Titillium Web" w:hAnsi="Titillium Web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90229E">
        <w:rPr>
          <w:rFonts w:ascii="Titillium Web" w:hAnsi="Titillium Web"/>
          <w:lang w:val="en-US"/>
        </w:rPr>
        <w:t>allegati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90229E" w:rsidRDefault="000D3D53">
      <w:pPr>
        <w:ind w:left="720"/>
        <w:rPr>
          <w:rFonts w:ascii="Titillium Web" w:hAnsi="Titillium Web"/>
          <w:i/>
          <w:color w:val="0000FF"/>
          <w:lang w:val="en-US"/>
        </w:rPr>
      </w:pP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avere una buona conoscenza della lingua inglese, scritta e </w:t>
      </w:r>
      <w:proofErr w:type="gramStart"/>
      <w:r w:rsidRPr="0090229E">
        <w:rPr>
          <w:rFonts w:ascii="Titillium Web" w:hAnsi="Titillium Web"/>
        </w:rPr>
        <w:t xml:space="preserve">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90229E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D3FA290" w14:textId="13222CCD" w:rsidR="00064BEC" w:rsidRPr="00064BEC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064BEC"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address</w:t>
      </w:r>
      <w:r>
        <w:rPr>
          <w:rFonts w:ascii="Titillium Web" w:hAnsi="Titillium Web"/>
          <w:i/>
          <w:color w:val="0000FF"/>
          <w:sz w:val="20"/>
          <w:szCs w:val="20"/>
        </w:rPr>
        <w:t>es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3B" w14:textId="20D21A06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BD4EEF"/>
    <w:rsid w:val="00C25208"/>
    <w:rsid w:val="00C51A70"/>
    <w:rsid w:val="00C6066C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8790</Characters>
  <Application>Microsoft Office Word</Application>
  <DocSecurity>0</DocSecurity>
  <Lines>191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2023-10-18T11:26:00Z</dcterms:created>
  <dcterms:modified xsi:type="dcterms:W3CDTF">2023-10-18T11:26:00Z</dcterms:modified>
</cp:coreProperties>
</file>